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E5CB0">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05380AE4">
      <w:pPr>
        <w:jc w:val="center"/>
        <w:rPr>
          <w:rFonts w:hint="default" w:ascii="Times New Roman" w:hAnsi="Times New Roman" w:eastAsia="方正小标宋_GBK" w:cs="Times New Roman"/>
          <w:sz w:val="52"/>
          <w:szCs w:val="52"/>
          <w:highlight w:val="none"/>
        </w:rPr>
      </w:pPr>
    </w:p>
    <w:p w14:paraId="659FF5D7">
      <w:pPr>
        <w:jc w:val="center"/>
        <w:rPr>
          <w:rFonts w:hint="default"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lang w:eastAsia="zh-CN"/>
        </w:rPr>
        <w:t>岳阳市公安局君山分局</w:t>
      </w:r>
    </w:p>
    <w:p w14:paraId="30F6B05D">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78C62CA6">
      <w:pPr>
        <w:jc w:val="center"/>
        <w:rPr>
          <w:rFonts w:hint="default" w:ascii="Times New Roman" w:hAnsi="Times New Roman" w:eastAsia="方正小标宋_GBK" w:cs="Times New Roman"/>
          <w:b/>
          <w:sz w:val="52"/>
          <w:szCs w:val="52"/>
          <w:highlight w:val="none"/>
        </w:rPr>
      </w:pPr>
    </w:p>
    <w:p w14:paraId="461D7C21">
      <w:pPr>
        <w:jc w:val="center"/>
        <w:rPr>
          <w:rFonts w:hint="default" w:ascii="Times New Roman" w:hAnsi="Times New Roman" w:eastAsia="楷体_GB2312" w:cs="Times New Roman"/>
          <w:b/>
          <w:sz w:val="32"/>
          <w:szCs w:val="32"/>
          <w:highlight w:val="none"/>
        </w:rPr>
      </w:pPr>
    </w:p>
    <w:p w14:paraId="50116227">
      <w:pPr>
        <w:jc w:val="center"/>
        <w:rPr>
          <w:rFonts w:hint="default" w:ascii="Times New Roman" w:hAnsi="Times New Roman" w:eastAsia="楷体_GB2312" w:cs="Times New Roman"/>
          <w:b/>
          <w:sz w:val="32"/>
          <w:szCs w:val="32"/>
          <w:highlight w:val="none"/>
        </w:rPr>
      </w:pPr>
    </w:p>
    <w:p w14:paraId="14FDC871">
      <w:pPr>
        <w:jc w:val="center"/>
        <w:rPr>
          <w:rFonts w:hint="default" w:ascii="Times New Roman" w:hAnsi="Times New Roman" w:eastAsia="楷体_GB2312" w:cs="Times New Roman"/>
          <w:b/>
          <w:sz w:val="32"/>
          <w:szCs w:val="32"/>
          <w:highlight w:val="none"/>
        </w:rPr>
      </w:pPr>
    </w:p>
    <w:p w14:paraId="0D0DA204">
      <w:pPr>
        <w:jc w:val="center"/>
        <w:rPr>
          <w:rFonts w:hint="default" w:ascii="Times New Roman" w:hAnsi="Times New Roman" w:eastAsia="楷体_GB2312" w:cs="Times New Roman"/>
          <w:b/>
          <w:sz w:val="32"/>
          <w:szCs w:val="32"/>
          <w:highlight w:val="none"/>
        </w:rPr>
      </w:pPr>
    </w:p>
    <w:p w14:paraId="2D6E3EA4">
      <w:pPr>
        <w:jc w:val="center"/>
        <w:rPr>
          <w:rFonts w:hint="default" w:ascii="Times New Roman" w:hAnsi="Times New Roman" w:eastAsia="楷体_GB2312" w:cs="Times New Roman"/>
          <w:b/>
          <w:sz w:val="32"/>
          <w:szCs w:val="32"/>
          <w:highlight w:val="none"/>
        </w:rPr>
      </w:pPr>
    </w:p>
    <w:p w14:paraId="031E96BC">
      <w:pPr>
        <w:jc w:val="center"/>
        <w:rPr>
          <w:rFonts w:hint="default" w:ascii="Times New Roman" w:hAnsi="Times New Roman" w:eastAsia="楷体_GB2312" w:cs="Times New Roman"/>
          <w:b/>
          <w:sz w:val="32"/>
          <w:szCs w:val="32"/>
          <w:highlight w:val="none"/>
        </w:rPr>
      </w:pPr>
    </w:p>
    <w:p w14:paraId="303A8F57">
      <w:pPr>
        <w:jc w:val="center"/>
        <w:rPr>
          <w:rFonts w:hint="default" w:ascii="Times New Roman" w:hAnsi="Times New Roman" w:eastAsia="黑体" w:cs="Times New Roman"/>
          <w:sz w:val="32"/>
          <w:szCs w:val="32"/>
          <w:highlight w:val="none"/>
        </w:rPr>
      </w:pPr>
    </w:p>
    <w:p w14:paraId="2CD66E0F">
      <w:pPr>
        <w:jc w:val="center"/>
        <w:rPr>
          <w:rFonts w:hint="default" w:ascii="Times New Roman" w:hAnsi="Times New Roman" w:eastAsia="黑体" w:cs="Times New Roman"/>
          <w:sz w:val="32"/>
          <w:szCs w:val="32"/>
          <w:highlight w:val="none"/>
        </w:rPr>
      </w:pPr>
    </w:p>
    <w:p w14:paraId="28ACF126">
      <w:pPr>
        <w:jc w:val="center"/>
        <w:rPr>
          <w:rFonts w:hint="default" w:ascii="Times New Roman" w:hAnsi="Times New Roman" w:eastAsia="黑体" w:cs="Times New Roman"/>
          <w:sz w:val="32"/>
          <w:szCs w:val="32"/>
          <w:highlight w:val="none"/>
        </w:rPr>
      </w:pPr>
    </w:p>
    <w:p w14:paraId="1437F60E">
      <w:pPr>
        <w:jc w:val="both"/>
        <w:rPr>
          <w:rFonts w:hint="default" w:ascii="Times New Roman" w:hAnsi="Times New Roman" w:eastAsia="黑体" w:cs="Times New Roman"/>
          <w:sz w:val="32"/>
          <w:szCs w:val="32"/>
          <w:highlight w:val="none"/>
        </w:rPr>
      </w:pPr>
    </w:p>
    <w:p w14:paraId="45DF059A">
      <w:pPr>
        <w:jc w:val="center"/>
        <w:rPr>
          <w:rFonts w:hint="default" w:ascii="Times New Roman" w:hAnsi="Times New Roman" w:eastAsia="黑体" w:cs="Times New Roman"/>
          <w:sz w:val="32"/>
          <w:szCs w:val="32"/>
          <w:highlight w:val="none"/>
        </w:rPr>
      </w:pPr>
    </w:p>
    <w:p w14:paraId="1A4657D0">
      <w:pPr>
        <w:jc w:val="center"/>
        <w:rPr>
          <w:rFonts w:hint="default" w:ascii="Times New Roman" w:hAnsi="Times New Roman" w:eastAsia="黑体" w:cs="Times New Roman"/>
          <w:sz w:val="32"/>
          <w:szCs w:val="32"/>
          <w:highlight w:val="none"/>
        </w:rPr>
      </w:pPr>
    </w:p>
    <w:p w14:paraId="6C41E5AA">
      <w:pPr>
        <w:jc w:val="center"/>
        <w:rPr>
          <w:rFonts w:hint="default" w:ascii="Times New Roman" w:hAnsi="Times New Roman" w:eastAsia="黑体" w:cs="Times New Roman"/>
          <w:sz w:val="32"/>
          <w:szCs w:val="32"/>
          <w:highlight w:val="none"/>
        </w:rPr>
      </w:pPr>
    </w:p>
    <w:p w14:paraId="4FE5CE4F">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6C5C2BBB">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0BB5DB73">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42B207DA">
      <w:pPr>
        <w:jc w:val="center"/>
        <w:rPr>
          <w:rFonts w:hint="eastAsia" w:ascii="方正小标宋简体" w:hAnsi="方正小标宋简体" w:eastAsia="方正小标宋简体" w:cs="方正小标宋简体"/>
          <w:sz w:val="44"/>
          <w:szCs w:val="44"/>
          <w:highlight w:val="none"/>
          <w:lang w:eastAsia="zh-CN"/>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lang w:eastAsia="zh-CN"/>
        </w:rPr>
        <w:t>岳阳市公安局君山分局</w:t>
      </w:r>
    </w:p>
    <w:p w14:paraId="3BF8A47D">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090BF758">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3D548559">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default"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为有序推进我局全面预算绩效管理工作，强化财政支出绩效理念和责任意识，切实提高财政资金使用效益，根据《岳阳市财政局关于开展2024年度市级预算支出绩效自评工作的通知》要求，我局组织专门人员对2024年度部门整体支出进行了绩效评价，现将绩效评价情况报告如下：</w:t>
      </w:r>
    </w:p>
    <w:p w14:paraId="778B5362">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612227E8">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rPr>
          <w:rFonts w:hint="default" w:ascii="Times New Roman" w:hAnsi="Times New Roman" w:eastAsia="楷体_GB2312" w:cs="Times New Roman"/>
          <w:b/>
          <w:kern w:val="0"/>
          <w:sz w:val="32"/>
          <w:szCs w:val="32"/>
          <w:highlight w:val="none"/>
          <w:lang w:val="en-US" w:eastAsia="zh-CN" w:bidi="ar-SA"/>
        </w:rPr>
      </w:pPr>
      <w:r>
        <w:rPr>
          <w:rFonts w:hint="eastAsia" w:ascii="Times New Roman" w:hAnsi="Times New Roman" w:eastAsia="楷体_GB2312" w:cs="Times New Roman"/>
          <w:b/>
          <w:kern w:val="0"/>
          <w:sz w:val="32"/>
          <w:szCs w:val="32"/>
          <w:highlight w:val="none"/>
          <w:lang w:val="en-US" w:eastAsia="zh-CN" w:bidi="ar-SA"/>
        </w:rPr>
        <w:t>（一）部门概</w:t>
      </w:r>
      <w:r>
        <w:rPr>
          <w:rFonts w:hint="default" w:ascii="Times New Roman" w:hAnsi="Times New Roman" w:eastAsia="楷体_GB2312" w:cs="Times New Roman"/>
          <w:b/>
          <w:kern w:val="0"/>
          <w:sz w:val="32"/>
          <w:szCs w:val="32"/>
          <w:highlight w:val="none"/>
          <w:lang w:val="en-US" w:eastAsia="zh-CN" w:bidi="ar-SA"/>
        </w:rPr>
        <w:t>况</w:t>
      </w:r>
    </w:p>
    <w:p w14:paraId="1F625724">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截至2024年12月31日，君山公安分局在职民警144人，退休人员23人，警务辅助人员156人。内设机构有：8个公安派出所（君山所、林角佬所、柳林洲所、广兴洲所、许市所、采桑湖所、钱粮湖所、良心堡所）、13个执法办案大队（巡逻特警大队、国内安全保卫大队、刑侦大队、法制大队、人口与出入境管理大队、治安大队、禁毒大队、经侦大队、反恐大队、科信大队、网安大队、执法办案中心、拘留所）、7个机关科室（办公室、警务保障室、政工室、辅警办、纪委、工会、禁毒办）。</w:t>
      </w:r>
    </w:p>
    <w:p w14:paraId="7C7F381A">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楷体_GB2312" w:cs="Times New Roman"/>
          <w:b/>
          <w:kern w:val="0"/>
          <w:sz w:val="32"/>
          <w:szCs w:val="32"/>
          <w:highlight w:val="none"/>
          <w:lang w:val="en-US" w:eastAsia="zh-CN" w:bidi="ar-SA"/>
        </w:rPr>
      </w:pPr>
      <w:r>
        <w:rPr>
          <w:rFonts w:hint="eastAsia" w:ascii="Times New Roman" w:hAnsi="Times New Roman" w:eastAsia="楷体_GB2312" w:cs="Times New Roman"/>
          <w:b/>
          <w:kern w:val="0"/>
          <w:sz w:val="32"/>
          <w:szCs w:val="32"/>
          <w:highlight w:val="none"/>
          <w:lang w:val="en-US" w:eastAsia="zh-CN" w:bidi="ar-SA"/>
        </w:rPr>
        <w:t>（二）</w:t>
      </w:r>
      <w:r>
        <w:rPr>
          <w:rFonts w:hint="eastAsia" w:ascii="楷体_GB2312" w:hAnsi="楷体_GB2312" w:eastAsia="楷体_GB2312" w:cs="楷体_GB2312"/>
          <w:b/>
          <w:kern w:val="0"/>
          <w:sz w:val="32"/>
          <w:szCs w:val="32"/>
          <w:lang w:val="en-US" w:eastAsia="zh-CN" w:bidi="ar-SA"/>
        </w:rPr>
        <w:t>主要职能职责</w:t>
      </w:r>
    </w:p>
    <w:p w14:paraId="2DA2D213">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预防制止和侦查违法犯罪活动；维护社会治安秩序，制止危害社会治安秩序的行为；组织实施消防工作，实行消防监督；管理枪支弹药、控制刀具和易燃易爆、剧毒、放射等危险物品；对法律、法规指定的特种行业进行管理；警卫国家规定的特定人员，守卫重要的场所和设施；管理集会、游行、示威活动；管理户政、国籍、出入境事务和外国人在中国境内居留、旅行的有关事务；维护国边境地区的治安秩序；管</w:t>
      </w:r>
      <w:r>
        <w:rPr>
          <w:rFonts w:hint="eastAsia" w:eastAsia="仿宋" w:cs="仿宋"/>
          <w:i w:val="0"/>
          <w:iCs w:val="0"/>
          <w:caps w:val="0"/>
          <w:color w:val="000000"/>
          <w:spacing w:val="0"/>
          <w:kern w:val="0"/>
          <w:sz w:val="30"/>
          <w:szCs w:val="30"/>
          <w:shd w:val="clear" w:fill="FFFFFF"/>
          <w:lang w:val="en-US" w:eastAsia="zh-CN" w:bidi="ar"/>
        </w:rPr>
        <w:t>理和</w:t>
      </w:r>
      <w:r>
        <w:rPr>
          <w:rFonts w:hint="eastAsia" w:ascii="仿宋" w:hAnsi="仿宋" w:eastAsia="仿宋" w:cs="仿宋"/>
          <w:i w:val="0"/>
          <w:iCs w:val="0"/>
          <w:caps w:val="0"/>
          <w:color w:val="000000"/>
          <w:spacing w:val="0"/>
          <w:kern w:val="0"/>
          <w:sz w:val="30"/>
          <w:szCs w:val="30"/>
          <w:shd w:val="clear" w:fill="FFFFFF"/>
          <w:lang w:val="en-US" w:eastAsia="zh-CN" w:bidi="ar"/>
        </w:rPr>
        <w:t>监督计算机信息系统的安全保卫工作；指导监督国家机关、社会团体、企业事业组织和重点建设工程的治安保卫工作，指导治安保卫委员会等群众性组织的治安防范工作；法律法规规定的其他职责。</w:t>
      </w:r>
    </w:p>
    <w:p w14:paraId="68C967CC">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rPr>
          <w:rFonts w:hint="default" w:ascii="Times New Roman" w:hAnsi="Times New Roman" w:eastAsia="楷体_GB2312" w:cs="Times New Roman"/>
          <w:b/>
          <w:kern w:val="0"/>
          <w:sz w:val="32"/>
          <w:szCs w:val="32"/>
          <w:highlight w:val="none"/>
          <w:lang w:val="en-US" w:eastAsia="zh-CN" w:bidi="ar-SA"/>
        </w:rPr>
      </w:pPr>
      <w:r>
        <w:rPr>
          <w:rFonts w:hint="default" w:ascii="Times New Roman" w:hAnsi="Times New Roman" w:eastAsia="楷体_GB2312" w:cs="Times New Roman"/>
          <w:b/>
          <w:kern w:val="0"/>
          <w:sz w:val="32"/>
          <w:szCs w:val="32"/>
          <w:highlight w:val="none"/>
          <w:lang w:val="en-US" w:eastAsia="zh-CN" w:bidi="ar-SA"/>
        </w:rPr>
        <w:t>（</w:t>
      </w:r>
      <w:r>
        <w:rPr>
          <w:rFonts w:hint="eastAsia" w:ascii="Times New Roman" w:hAnsi="Times New Roman" w:eastAsia="楷体_GB2312" w:cs="Times New Roman"/>
          <w:b/>
          <w:kern w:val="0"/>
          <w:sz w:val="32"/>
          <w:szCs w:val="32"/>
          <w:highlight w:val="none"/>
          <w:lang w:val="en-US" w:eastAsia="zh-CN" w:bidi="ar-SA"/>
        </w:rPr>
        <w:t>三</w:t>
      </w:r>
      <w:r>
        <w:rPr>
          <w:rFonts w:hint="default" w:ascii="Times New Roman" w:hAnsi="Times New Roman" w:eastAsia="楷体_GB2312" w:cs="Times New Roman"/>
          <w:b/>
          <w:kern w:val="0"/>
          <w:sz w:val="32"/>
          <w:szCs w:val="32"/>
          <w:highlight w:val="none"/>
          <w:lang w:val="en-US" w:eastAsia="zh-CN" w:bidi="ar-SA"/>
        </w:rPr>
        <w:t>）总体目标和年度目标</w:t>
      </w:r>
    </w:p>
    <w:p w14:paraId="2F9D89BD">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在市局和区委、区政府的坚强领导下，全区公安机关坚持以新时代中国特色社会主义思想为指导，深入学习贯彻习近平总书记在人民警察警旗授旗仪式上的重要训词精神，聚焦“政治安全、社会稳定、群众满意”的工作目标，落实保平安、防风险、护发展、惠民生、强改革等各项措施，有力维护了君山辖区安全和社会大局稳定。</w:t>
      </w:r>
    </w:p>
    <w:p w14:paraId="126EA7CB">
      <w:pPr>
        <w:pStyle w:val="13"/>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082CACC1">
      <w:pPr>
        <w:pStyle w:val="13"/>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299DDF55">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2024年度一般公共预算基本支出2668.03万元，其中工资福利支出2161.73万元，商品和服务支出434.57万元，对个人和家庭的补助71.73万元，主要用于维护社会稳定，打击犯罪的实战工作和公安日常行政运行经费开支。</w:t>
      </w:r>
    </w:p>
    <w:p w14:paraId="2FE5B8D4">
      <w:pPr>
        <w:pStyle w:val="13"/>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（二）项目支出情况</w:t>
      </w:r>
    </w:p>
    <w:p w14:paraId="7CB73760">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2024年度一般公共预算项目支出2174.13万元，其中工资福利支出596.30万元，商品和服务支出925.98万元，对个人和家庭的补助35.28万元，资本性支出616.58万元。</w:t>
      </w:r>
      <w:r>
        <w:rPr>
          <w:rFonts w:hint="eastAsia" w:eastAsia="仿宋" w:cs="仿宋"/>
          <w:i w:val="0"/>
          <w:iCs w:val="0"/>
          <w:caps w:val="0"/>
          <w:color w:val="000000"/>
          <w:spacing w:val="0"/>
          <w:kern w:val="0"/>
          <w:sz w:val="30"/>
          <w:szCs w:val="30"/>
          <w:shd w:val="clear" w:fill="FFFFFF"/>
          <w:lang w:val="en-US" w:eastAsia="zh-CN" w:bidi="ar"/>
        </w:rPr>
        <w:t>涉密项目</w:t>
      </w:r>
      <w:r>
        <w:rPr>
          <w:rFonts w:hint="eastAsia" w:ascii="仿宋" w:hAnsi="仿宋" w:eastAsia="仿宋" w:cs="仿宋"/>
          <w:i w:val="0"/>
          <w:iCs w:val="0"/>
          <w:caps w:val="0"/>
          <w:color w:val="000000"/>
          <w:spacing w:val="0"/>
          <w:kern w:val="0"/>
          <w:sz w:val="30"/>
          <w:szCs w:val="30"/>
          <w:shd w:val="clear" w:fill="FFFFFF"/>
          <w:lang w:val="en-US" w:eastAsia="zh-CN" w:bidi="ar"/>
        </w:rPr>
        <w:t>102.77万元，办案费运行维护经费3440.55万元，人民警察加班补贴和执勤津贴205.92万元，乡镇派出所民警工作津贴27万元，“平安城市”电子防控系统工作经费91.49万元。</w:t>
      </w:r>
    </w:p>
    <w:p w14:paraId="771D21A9">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（三）财政拨款支出“三公”经费预算执行情况</w:t>
      </w:r>
    </w:p>
    <w:p w14:paraId="77AF5EBD">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default"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2024年度“三公”经费支出合计55.15万元，其中公务接待费0万元，与上年持平，公车运行维护费55.15万元，公务用车购置费0万元，比去年减少执法勤务用车购置费用，因公出国境费用0万元。</w:t>
      </w:r>
    </w:p>
    <w:p w14:paraId="6F4DEC80">
      <w:pPr>
        <w:pStyle w:val="13"/>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14:paraId="48EE013D">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kern w:val="0"/>
          <w:sz w:val="32"/>
          <w:szCs w:val="32"/>
          <w:lang w:val="en-US" w:eastAsia="zh-CN" w:bidi="ar-SA"/>
        </w:rPr>
        <w:t>2024年本单位无政府性基金预算安排的支出。</w:t>
      </w:r>
    </w:p>
    <w:p w14:paraId="3915CA11">
      <w:pPr>
        <w:pStyle w:val="13"/>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rPr>
        <w:t>国有资本经营预算支出情</w:t>
      </w:r>
      <w:r>
        <w:rPr>
          <w:rFonts w:hint="eastAsia" w:ascii="Times New Roman" w:hAnsi="Times New Roman" w:eastAsia="黑体" w:cs="Times New Roman"/>
          <w:sz w:val="32"/>
          <w:szCs w:val="32"/>
          <w:highlight w:val="none"/>
          <w:lang w:eastAsia="zh-CN"/>
        </w:rPr>
        <w:t>况</w:t>
      </w:r>
    </w:p>
    <w:p w14:paraId="343E120A">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default"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2024年本单位无国有资本经营预算安排的支出。</w:t>
      </w:r>
    </w:p>
    <w:p w14:paraId="42C8E0AC">
      <w:pPr>
        <w:pStyle w:val="13"/>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2ACBDC21">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default"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2024年本单位无社会保险基金预算安排的支出。</w:t>
      </w:r>
    </w:p>
    <w:p w14:paraId="78193071">
      <w:pPr>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部门整体支出绩效情况</w:t>
      </w:r>
    </w:p>
    <w:p w14:paraId="2CF48C0C">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（一）财政供养人员情况</w:t>
      </w:r>
    </w:p>
    <w:p w14:paraId="65806FBA">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2024年12月31日止岳阳市公安局君山分局人员编制数147人，年末实际在职人数144人，在职人员控制率为97.96%。</w:t>
      </w:r>
    </w:p>
    <w:p w14:paraId="036C458C">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2、预算执行</w:t>
      </w:r>
    </w:p>
    <w:p w14:paraId="04003120">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2024年市财政批复部门年初预算为3164.96万元，调整后预算为8299.21万元，实际到位指标8299.21万元，全年支出共计6535.76万元。</w:t>
      </w:r>
    </w:p>
    <w:p w14:paraId="2F257FEE">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（二）管理效率和履职效能分析</w:t>
      </w:r>
    </w:p>
    <w:p w14:paraId="1914D7CC">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1、坚持总纲主线，社会大局更加稳定。始终紧盯维稳安保和护航经济发展的主线，一往无前，决战决胜，</w:t>
      </w:r>
      <w:r>
        <w:rPr>
          <w:rFonts w:hint="eastAsia" w:eastAsia="仿宋" w:cs="仿宋"/>
          <w:i w:val="0"/>
          <w:iCs w:val="0"/>
          <w:caps w:val="0"/>
          <w:color w:val="000000"/>
          <w:spacing w:val="0"/>
          <w:kern w:val="0"/>
          <w:sz w:val="30"/>
          <w:szCs w:val="30"/>
          <w:shd w:val="clear" w:fill="FFFFFF"/>
          <w:lang w:val="en-US" w:eastAsia="zh-CN" w:bidi="ar"/>
        </w:rPr>
        <w:t>全力</w:t>
      </w:r>
      <w:r>
        <w:rPr>
          <w:rFonts w:hint="eastAsia" w:ascii="仿宋" w:hAnsi="仿宋" w:eastAsia="仿宋" w:cs="仿宋"/>
          <w:i w:val="0"/>
          <w:iCs w:val="0"/>
          <w:caps w:val="0"/>
          <w:color w:val="000000"/>
          <w:spacing w:val="0"/>
          <w:kern w:val="0"/>
          <w:sz w:val="30"/>
          <w:szCs w:val="30"/>
          <w:shd w:val="clear" w:fill="FFFFFF"/>
          <w:lang w:val="en-US" w:eastAsia="zh-CN" w:bidi="ar"/>
        </w:rPr>
        <w:t>防风险、保安全、护稳定、促发展，牢牢守住“五个不发生”工作底线有力确保了全区“两个大局”持续稳定。</w:t>
      </w:r>
    </w:p>
    <w:p w14:paraId="18A3E236">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2、坚持人民至上，打击效能更加显现。实现了“警情下降、发案下降、破案上升”的良好局面，树牢了“平安君山”的全市社会治安典范。</w:t>
      </w:r>
    </w:p>
    <w:p w14:paraId="64577D1B">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default"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3、坚持强基导向，警务基础更加夯实。加强社会治安管理，常态化开展集中清查，排查整治各类安全隐患。基础设施建设稳步推进，派出所的基础设施建设与修缮工作，极大地改善了基层民警的办公、居住环境。根据公安部相关标准与实战需求，为一线民警配备了先进、实用的警用装备，基本实现了装备配备的标准化与现代化，有效提升了民警的执法执勤能力与安全防护水平。</w:t>
      </w:r>
    </w:p>
    <w:p w14:paraId="1C14B55F">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（三）在部门预算经费的使用上，全面贯彻落实过“紧日子”的有关政策，压减一般性支出，量入为出，聚焦刚性支出、重点项目，全面提升资金使用效能，充分保障了各项工作的资金需求。</w:t>
      </w:r>
    </w:p>
    <w:p w14:paraId="55F649B8">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（四）评价结论</w:t>
      </w:r>
    </w:p>
    <w:p w14:paraId="7291FD76">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2024年，在区委、区政府和政法委的坚强领导下，君山公安分局以打开路、奋楫争先，取得了一定的成绩，综合分析后，绩效自评得分97.88分。</w:t>
      </w:r>
    </w:p>
    <w:p w14:paraId="6711D453">
      <w:pPr>
        <w:pStyle w:val="13"/>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0A3A92BC">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（一）保障需求与资源有限性矛盾突出。现有保障资源相对有限，难以充分满足一线实战需求，一定程度上制约了公安工作的高效开展。</w:t>
      </w:r>
    </w:p>
    <w:p w14:paraId="0376F3BA">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（二）保障信息化水平有待提高。警务保障工作的信息化建设仍显滞后，物资管理、装备调配、经费使用等环节的信息化应用程度不高，信息共享不畅，导致工作效率低下、管理成本增加。</w:t>
      </w:r>
    </w:p>
    <w:p w14:paraId="16601BB5">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（三）后勤队伍专业化素质参差不齐。警务保障工作涉及财务、装备、基建、后勤等多个领域，要求工作人员具备较高的专业素质与综合能力。</w:t>
      </w:r>
    </w:p>
    <w:p w14:paraId="5B5612E5">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（四）社会化保障机制尚不完善。在与社会企业合作过程中，存在合同管理不规范、服务质量监督不到位、风险防控机制不完善等问题。</w:t>
      </w:r>
    </w:p>
    <w:p w14:paraId="15BF98C3">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八、</w:t>
      </w:r>
      <w:r>
        <w:rPr>
          <w:rFonts w:hint="default" w:ascii="Times New Roman" w:hAnsi="Times New Roman" w:eastAsia="黑体" w:cs="Times New Roman"/>
          <w:sz w:val="32"/>
          <w:szCs w:val="32"/>
          <w:highlight w:val="none"/>
        </w:rPr>
        <w:t>下一步改进措施</w:t>
      </w:r>
    </w:p>
    <w:p w14:paraId="0125FE76">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一）优化资源配置，提升保障效能。加强需求调研与分析。深入基层一线，广泛开展警务保障需求调研活动，全面了解各部门在不同业务场景下的物资、装备、经费等需求情况，建立需求数据库，为科学合理配置保障资源提供依据。完善资源统筹调配机制。进一步整合内部保障资源，打破部门之间的壁垒，建立健全资源共享、统筹调配机制。</w:t>
      </w:r>
    </w:p>
    <w:p w14:paraId="465AA5B0">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（二）推进信息化管理，创新保障模式。加大对警务保障信息化管理的投入力度，争取将物资管理、装备调配、经费使用、应急保障等功能实现信息化。创新信息化保障服务模式。依托各类信息化平台，积极探索 “互联网 + 警务保障” 服务模式，拓展保障服务的广度与深度。</w:t>
      </w:r>
    </w:p>
    <w:p w14:paraId="120B24DC">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（三）加强队伍建设，提高专业素质。强化业务培训与学习交流，优化队伍结构与人才引进。</w:t>
      </w:r>
    </w:p>
    <w:p w14:paraId="44013E91">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（四）完善社会化保障体系，提升保障质量。规范社会化保障项目管理，建立风险防控与应急处置机制。</w:t>
      </w:r>
    </w:p>
    <w:p w14:paraId="4ED1BF2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1AB96F1E">
      <w:pPr>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本局高度重视此项绩效自评工作，积极落实主体责任，切实加强组织领导，按照绩效评价相关制度规定，明确具体责任人，认真开展自评，撰写了此份绩效评价报告，确保绩效自评工作顺利实施，并严格按照《岳阳市市级预算部门绩效自评操作规程》（岳财函〔2022〕209号）文件精神，</w:t>
      </w:r>
      <w:r>
        <w:rPr>
          <w:rFonts w:hint="eastAsia" w:eastAsia="仿宋" w:cs="仿宋"/>
          <w:i w:val="0"/>
          <w:iCs w:val="0"/>
          <w:caps w:val="0"/>
          <w:color w:val="000000"/>
          <w:spacing w:val="0"/>
          <w:kern w:val="0"/>
          <w:sz w:val="30"/>
          <w:szCs w:val="30"/>
          <w:shd w:val="clear" w:fill="FFFFFF"/>
          <w:lang w:val="en-US" w:eastAsia="zh-CN" w:bidi="ar"/>
        </w:rPr>
        <w:t>通过</w:t>
      </w:r>
      <w:r>
        <w:rPr>
          <w:rFonts w:hint="eastAsia" w:ascii="仿宋" w:hAnsi="仿宋" w:eastAsia="仿宋" w:cs="仿宋"/>
          <w:i w:val="0"/>
          <w:iCs w:val="0"/>
          <w:caps w:val="0"/>
          <w:color w:val="000000"/>
          <w:spacing w:val="0"/>
          <w:kern w:val="0"/>
          <w:sz w:val="30"/>
          <w:szCs w:val="30"/>
          <w:shd w:val="clear" w:fill="FFFFFF"/>
          <w:lang w:val="en-US" w:eastAsia="zh-CN" w:bidi="ar"/>
        </w:rPr>
        <w:t>本部门门户网站公开部门整体支出绩效自评报告，接受社会公众监督。</w:t>
      </w:r>
    </w:p>
    <w:p w14:paraId="0DAC02B3">
      <w:pPr>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十、</w:t>
      </w:r>
      <w:r>
        <w:rPr>
          <w:rFonts w:hint="default" w:ascii="Times New Roman" w:hAnsi="Times New Roman" w:eastAsia="黑体" w:cs="Times New Roman"/>
          <w:sz w:val="32"/>
          <w:szCs w:val="32"/>
          <w:highlight w:val="none"/>
        </w:rPr>
        <w:t>其他需要说明的情况</w:t>
      </w:r>
    </w:p>
    <w:p w14:paraId="00995362">
      <w:pPr>
        <w:keepNext w:val="0"/>
        <w:keepLines w:val="0"/>
        <w:pageBreakBefore w:val="0"/>
        <w:widowControl/>
        <w:kinsoku/>
        <w:wordWrap/>
        <w:overflowPunct/>
        <w:topLinePunct w:val="0"/>
        <w:autoSpaceDE/>
        <w:autoSpaceDN/>
        <w:bidi w:val="0"/>
        <w:adjustRightInd/>
        <w:snapToGrid/>
        <w:spacing w:line="640" w:lineRule="exact"/>
        <w:ind w:firstLine="600" w:firstLineChars="200"/>
        <w:jc w:val="both"/>
        <w:textAlignment w:val="auto"/>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仿宋" w:hAnsi="仿宋" w:eastAsia="仿宋" w:cs="仿宋"/>
          <w:i w:val="0"/>
          <w:iCs w:val="0"/>
          <w:caps w:val="0"/>
          <w:color w:val="000000"/>
          <w:spacing w:val="0"/>
          <w:kern w:val="0"/>
          <w:sz w:val="30"/>
          <w:szCs w:val="30"/>
          <w:shd w:val="clear" w:fill="FFFFFF"/>
          <w:lang w:val="en-US" w:eastAsia="zh-CN" w:bidi="ar"/>
        </w:rPr>
        <w:t>无。</w:t>
      </w:r>
    </w:p>
    <w:p w14:paraId="6EAABB9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63E769CC">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sz w:val="32"/>
          <w:szCs w:val="32"/>
          <w:highlight w:val="none"/>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D5912"/>
    <w:multiLevelType w:val="singleLevel"/>
    <w:tmpl w:val="0D6D5912"/>
    <w:lvl w:ilvl="0" w:tentative="0">
      <w:start w:val="1"/>
      <w:numFmt w:val="chineseCounting"/>
      <w:suff w:val="nothing"/>
      <w:lvlText w:val="%1、"/>
      <w:lvlJc w:val="left"/>
      <w:rPr>
        <w:rFonts w:hint="eastAsia"/>
      </w:rPr>
    </w:lvl>
  </w:abstractNum>
  <w:abstractNum w:abstractNumId="1">
    <w:nsid w:val="472DDDE8"/>
    <w:multiLevelType w:val="singleLevel"/>
    <w:tmpl w:val="472DDDE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59886344"/>
    <w:rsid w:val="00BC5533"/>
    <w:rsid w:val="01A63CD7"/>
    <w:rsid w:val="01E951BF"/>
    <w:rsid w:val="02067748"/>
    <w:rsid w:val="022A1D94"/>
    <w:rsid w:val="02740C23"/>
    <w:rsid w:val="02EE4F2C"/>
    <w:rsid w:val="03060F81"/>
    <w:rsid w:val="03380674"/>
    <w:rsid w:val="035B3E29"/>
    <w:rsid w:val="0372332F"/>
    <w:rsid w:val="03E85264"/>
    <w:rsid w:val="042518DB"/>
    <w:rsid w:val="044779E7"/>
    <w:rsid w:val="045701F3"/>
    <w:rsid w:val="04665F1D"/>
    <w:rsid w:val="05412745"/>
    <w:rsid w:val="058C7E64"/>
    <w:rsid w:val="05FD2B10"/>
    <w:rsid w:val="07FF37CD"/>
    <w:rsid w:val="08817FE3"/>
    <w:rsid w:val="09576B32"/>
    <w:rsid w:val="09F54C53"/>
    <w:rsid w:val="0A0524FF"/>
    <w:rsid w:val="0AAB4C3F"/>
    <w:rsid w:val="0AC8263F"/>
    <w:rsid w:val="0B7D2EC0"/>
    <w:rsid w:val="0BA85CF9"/>
    <w:rsid w:val="0C844E03"/>
    <w:rsid w:val="0CE01F46"/>
    <w:rsid w:val="0D9D24E2"/>
    <w:rsid w:val="0DD118D5"/>
    <w:rsid w:val="0DF265CB"/>
    <w:rsid w:val="0DF57544"/>
    <w:rsid w:val="0E1A4170"/>
    <w:rsid w:val="0E2B6C95"/>
    <w:rsid w:val="0E5C1F2F"/>
    <w:rsid w:val="0E8A0CB9"/>
    <w:rsid w:val="0E9A7672"/>
    <w:rsid w:val="0EA578A0"/>
    <w:rsid w:val="0ED67E45"/>
    <w:rsid w:val="0EEE4032"/>
    <w:rsid w:val="0FFE195E"/>
    <w:rsid w:val="10282A91"/>
    <w:rsid w:val="10D4626B"/>
    <w:rsid w:val="111807FE"/>
    <w:rsid w:val="113A4C18"/>
    <w:rsid w:val="11462FAC"/>
    <w:rsid w:val="11496C09"/>
    <w:rsid w:val="114F7F97"/>
    <w:rsid w:val="119C0C8C"/>
    <w:rsid w:val="11DC0A68"/>
    <w:rsid w:val="11F748B7"/>
    <w:rsid w:val="1217263A"/>
    <w:rsid w:val="127C4DBC"/>
    <w:rsid w:val="12940E35"/>
    <w:rsid w:val="14461872"/>
    <w:rsid w:val="14610F3F"/>
    <w:rsid w:val="16325C9C"/>
    <w:rsid w:val="163E141D"/>
    <w:rsid w:val="166D4C9E"/>
    <w:rsid w:val="16935FB9"/>
    <w:rsid w:val="16A62379"/>
    <w:rsid w:val="16FF2141"/>
    <w:rsid w:val="171E496F"/>
    <w:rsid w:val="172F6E5D"/>
    <w:rsid w:val="17E01CEC"/>
    <w:rsid w:val="17FD699F"/>
    <w:rsid w:val="185A794E"/>
    <w:rsid w:val="18B23140"/>
    <w:rsid w:val="18E87F49"/>
    <w:rsid w:val="18EC395A"/>
    <w:rsid w:val="191F5F30"/>
    <w:rsid w:val="19284E28"/>
    <w:rsid w:val="1968446D"/>
    <w:rsid w:val="199E0845"/>
    <w:rsid w:val="19EC297C"/>
    <w:rsid w:val="1A4C59BC"/>
    <w:rsid w:val="1A8C5DB8"/>
    <w:rsid w:val="1AF62AC5"/>
    <w:rsid w:val="1AF8725D"/>
    <w:rsid w:val="1BAA1831"/>
    <w:rsid w:val="1BE567A3"/>
    <w:rsid w:val="1C161A62"/>
    <w:rsid w:val="1C6C5EA1"/>
    <w:rsid w:val="1CD32A5C"/>
    <w:rsid w:val="1CDD0446"/>
    <w:rsid w:val="1E3768D9"/>
    <w:rsid w:val="1E4363C8"/>
    <w:rsid w:val="1E45174F"/>
    <w:rsid w:val="1E5D51E9"/>
    <w:rsid w:val="1EA00084"/>
    <w:rsid w:val="1ED96131"/>
    <w:rsid w:val="1EF53F2C"/>
    <w:rsid w:val="1F7032AD"/>
    <w:rsid w:val="20566C4C"/>
    <w:rsid w:val="20E3054D"/>
    <w:rsid w:val="21884F0C"/>
    <w:rsid w:val="219429D4"/>
    <w:rsid w:val="21DA658D"/>
    <w:rsid w:val="221E7441"/>
    <w:rsid w:val="22AC2719"/>
    <w:rsid w:val="23B66BD2"/>
    <w:rsid w:val="24A02238"/>
    <w:rsid w:val="24E1139C"/>
    <w:rsid w:val="252427BC"/>
    <w:rsid w:val="259F4932"/>
    <w:rsid w:val="25DD15C5"/>
    <w:rsid w:val="26676CA3"/>
    <w:rsid w:val="269229A8"/>
    <w:rsid w:val="26B7240F"/>
    <w:rsid w:val="2865667D"/>
    <w:rsid w:val="29171045"/>
    <w:rsid w:val="293E6DEC"/>
    <w:rsid w:val="29A270AE"/>
    <w:rsid w:val="29A7621B"/>
    <w:rsid w:val="2A222295"/>
    <w:rsid w:val="2A665F0B"/>
    <w:rsid w:val="2B0D5D95"/>
    <w:rsid w:val="2BC730F4"/>
    <w:rsid w:val="2CBA0FA7"/>
    <w:rsid w:val="2D1A7254"/>
    <w:rsid w:val="2D25772B"/>
    <w:rsid w:val="2D980584"/>
    <w:rsid w:val="2DAE6A51"/>
    <w:rsid w:val="2F7D348F"/>
    <w:rsid w:val="2F9F5F33"/>
    <w:rsid w:val="2FAD08AE"/>
    <w:rsid w:val="307028E6"/>
    <w:rsid w:val="30B8300C"/>
    <w:rsid w:val="31342080"/>
    <w:rsid w:val="3188594B"/>
    <w:rsid w:val="31CD0282"/>
    <w:rsid w:val="321231C7"/>
    <w:rsid w:val="32216739"/>
    <w:rsid w:val="3229553B"/>
    <w:rsid w:val="32DF4298"/>
    <w:rsid w:val="3380548F"/>
    <w:rsid w:val="33C63C91"/>
    <w:rsid w:val="343F5C4F"/>
    <w:rsid w:val="357F2005"/>
    <w:rsid w:val="35A727CB"/>
    <w:rsid w:val="35E12B4D"/>
    <w:rsid w:val="35F77270"/>
    <w:rsid w:val="36A75D24"/>
    <w:rsid w:val="36B4763B"/>
    <w:rsid w:val="37714E07"/>
    <w:rsid w:val="37FE043A"/>
    <w:rsid w:val="380C644C"/>
    <w:rsid w:val="38657F1D"/>
    <w:rsid w:val="38B03F30"/>
    <w:rsid w:val="3925145A"/>
    <w:rsid w:val="393A75ED"/>
    <w:rsid w:val="39404BDD"/>
    <w:rsid w:val="396D12B4"/>
    <w:rsid w:val="398A3CE5"/>
    <w:rsid w:val="3A1453AF"/>
    <w:rsid w:val="3A4B4C7A"/>
    <w:rsid w:val="3A610B37"/>
    <w:rsid w:val="3A970446"/>
    <w:rsid w:val="3BBF25A4"/>
    <w:rsid w:val="3C0B3A4A"/>
    <w:rsid w:val="3D24777C"/>
    <w:rsid w:val="3D7F6A3A"/>
    <w:rsid w:val="3D8104E7"/>
    <w:rsid w:val="3E081DAF"/>
    <w:rsid w:val="3E301A97"/>
    <w:rsid w:val="3E7935E4"/>
    <w:rsid w:val="406C7CC6"/>
    <w:rsid w:val="408E49EB"/>
    <w:rsid w:val="41036525"/>
    <w:rsid w:val="4356105B"/>
    <w:rsid w:val="43663D56"/>
    <w:rsid w:val="443018BB"/>
    <w:rsid w:val="447339C1"/>
    <w:rsid w:val="44EB355F"/>
    <w:rsid w:val="469E71A8"/>
    <w:rsid w:val="46B15FC2"/>
    <w:rsid w:val="474F17A4"/>
    <w:rsid w:val="480B3D26"/>
    <w:rsid w:val="481B00E6"/>
    <w:rsid w:val="48A57EC2"/>
    <w:rsid w:val="48B33C17"/>
    <w:rsid w:val="492F19EC"/>
    <w:rsid w:val="49547006"/>
    <w:rsid w:val="49555444"/>
    <w:rsid w:val="49753D38"/>
    <w:rsid w:val="49CA4977"/>
    <w:rsid w:val="4A0C3094"/>
    <w:rsid w:val="4AFA64D4"/>
    <w:rsid w:val="4B6217B9"/>
    <w:rsid w:val="4B726C53"/>
    <w:rsid w:val="4C917C1E"/>
    <w:rsid w:val="4D7762D0"/>
    <w:rsid w:val="4EB75C20"/>
    <w:rsid w:val="4ECF5C98"/>
    <w:rsid w:val="4EE43655"/>
    <w:rsid w:val="4F0B013B"/>
    <w:rsid w:val="4F74252E"/>
    <w:rsid w:val="4FC652ED"/>
    <w:rsid w:val="500460B5"/>
    <w:rsid w:val="508E5E86"/>
    <w:rsid w:val="519D1959"/>
    <w:rsid w:val="51AD5D7A"/>
    <w:rsid w:val="51B00003"/>
    <w:rsid w:val="52EA7884"/>
    <w:rsid w:val="531F6D00"/>
    <w:rsid w:val="539D5DBA"/>
    <w:rsid w:val="53F35F85"/>
    <w:rsid w:val="55382DBA"/>
    <w:rsid w:val="557066BD"/>
    <w:rsid w:val="55A439DB"/>
    <w:rsid w:val="56463D35"/>
    <w:rsid w:val="567536F3"/>
    <w:rsid w:val="568B06F7"/>
    <w:rsid w:val="56DB7934"/>
    <w:rsid w:val="570A0F13"/>
    <w:rsid w:val="578B3094"/>
    <w:rsid w:val="57CE2F91"/>
    <w:rsid w:val="580247EC"/>
    <w:rsid w:val="58095CBB"/>
    <w:rsid w:val="586A5FA0"/>
    <w:rsid w:val="59376DAF"/>
    <w:rsid w:val="59886344"/>
    <w:rsid w:val="59CC00D1"/>
    <w:rsid w:val="59F56B19"/>
    <w:rsid w:val="5A4237C2"/>
    <w:rsid w:val="5A6373D1"/>
    <w:rsid w:val="5ADF3046"/>
    <w:rsid w:val="5AF17033"/>
    <w:rsid w:val="5B1C7423"/>
    <w:rsid w:val="5B531ADB"/>
    <w:rsid w:val="5B7D784B"/>
    <w:rsid w:val="5BEA24B6"/>
    <w:rsid w:val="5C0105BA"/>
    <w:rsid w:val="5C875E04"/>
    <w:rsid w:val="5D275EBF"/>
    <w:rsid w:val="5D55249C"/>
    <w:rsid w:val="5DAF73C1"/>
    <w:rsid w:val="5DE00D83"/>
    <w:rsid w:val="5E207E1D"/>
    <w:rsid w:val="5F6C3D73"/>
    <w:rsid w:val="601B3A99"/>
    <w:rsid w:val="6037080D"/>
    <w:rsid w:val="60A83D46"/>
    <w:rsid w:val="60E618D8"/>
    <w:rsid w:val="61811074"/>
    <w:rsid w:val="61C6117D"/>
    <w:rsid w:val="61CB28D4"/>
    <w:rsid w:val="63D01E3F"/>
    <w:rsid w:val="645227C1"/>
    <w:rsid w:val="65C90D8D"/>
    <w:rsid w:val="66263ABB"/>
    <w:rsid w:val="679338AF"/>
    <w:rsid w:val="67D958E5"/>
    <w:rsid w:val="696E7B67"/>
    <w:rsid w:val="698D476B"/>
    <w:rsid w:val="699C5B6F"/>
    <w:rsid w:val="69B946AF"/>
    <w:rsid w:val="6A1509EA"/>
    <w:rsid w:val="6AC81AC2"/>
    <w:rsid w:val="6B2A452A"/>
    <w:rsid w:val="6B367978"/>
    <w:rsid w:val="6C160AB2"/>
    <w:rsid w:val="6C215D13"/>
    <w:rsid w:val="6CAA4603"/>
    <w:rsid w:val="6CAB51F7"/>
    <w:rsid w:val="6D0E0DE2"/>
    <w:rsid w:val="6D2D5AFA"/>
    <w:rsid w:val="6DD46FEF"/>
    <w:rsid w:val="6E7F35F7"/>
    <w:rsid w:val="6E813C51"/>
    <w:rsid w:val="6FBB25BC"/>
    <w:rsid w:val="704E0CBB"/>
    <w:rsid w:val="70EC3B65"/>
    <w:rsid w:val="72C2773E"/>
    <w:rsid w:val="72F773E8"/>
    <w:rsid w:val="73C44343"/>
    <w:rsid w:val="74381A66"/>
    <w:rsid w:val="7440002E"/>
    <w:rsid w:val="747A7A1E"/>
    <w:rsid w:val="74DD6508"/>
    <w:rsid w:val="75102F17"/>
    <w:rsid w:val="75C24FD3"/>
    <w:rsid w:val="75C567D4"/>
    <w:rsid w:val="76852C06"/>
    <w:rsid w:val="785D30FB"/>
    <w:rsid w:val="78DB3B19"/>
    <w:rsid w:val="791D063B"/>
    <w:rsid w:val="79215B20"/>
    <w:rsid w:val="7933675D"/>
    <w:rsid w:val="79F63C5C"/>
    <w:rsid w:val="7A843F98"/>
    <w:rsid w:val="7ABD2CC5"/>
    <w:rsid w:val="7B2F1969"/>
    <w:rsid w:val="7B7503B1"/>
    <w:rsid w:val="7C16370A"/>
    <w:rsid w:val="7D6A7B3A"/>
    <w:rsid w:val="7D827CD7"/>
    <w:rsid w:val="7E6B0C8A"/>
    <w:rsid w:val="7F0D5CCB"/>
    <w:rsid w:val="7F0F7867"/>
    <w:rsid w:val="7F104C8C"/>
    <w:rsid w:val="7F48099F"/>
    <w:rsid w:val="7F683F50"/>
    <w:rsid w:val="7F711595"/>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toa heading"/>
    <w:next w:val="1"/>
    <w:qFormat/>
    <w:uiPriority w:val="99"/>
    <w:pPr>
      <w:widowControl w:val="0"/>
      <w:spacing w:before="120" w:after="200" w:line="276" w:lineRule="auto"/>
      <w:jc w:val="both"/>
    </w:pPr>
    <w:rPr>
      <w:rFonts w:ascii="Arial" w:hAnsi="Arial" w:eastAsia="宋体" w:cs="Times New Roman"/>
      <w:kern w:val="0"/>
      <w:sz w:val="24"/>
      <w:szCs w:val="24"/>
      <w:lang w:val="en-US" w:eastAsia="zh-CN" w:bidi="ar-SA"/>
    </w:rPr>
  </w:style>
  <w:style w:type="paragraph" w:styleId="3">
    <w:name w:val="annotation text"/>
    <w:basedOn w:val="1"/>
    <w:qFormat/>
    <w:uiPriority w:val="0"/>
    <w:pPr>
      <w:jc w:val="left"/>
    </w:pPr>
  </w:style>
  <w:style w:type="paragraph" w:styleId="4">
    <w:name w:val="Body Text"/>
    <w:basedOn w:val="1"/>
    <w:next w:val="5"/>
    <w:autoRedefine/>
    <w:semiHidden/>
    <w:qFormat/>
    <w:uiPriority w:val="0"/>
    <w:rPr>
      <w:rFonts w:ascii="仿宋" w:hAnsi="仿宋" w:eastAsia="仿宋" w:cs="仿宋"/>
      <w:sz w:val="31"/>
      <w:szCs w:val="31"/>
      <w:lang w:val="en-US" w:eastAsia="en-US" w:bidi="ar-SA"/>
    </w:rPr>
  </w:style>
  <w:style w:type="paragraph" w:styleId="5">
    <w:name w:val="toc 5"/>
    <w:basedOn w:val="1"/>
    <w:next w:val="1"/>
    <w:autoRedefine/>
    <w:qFormat/>
    <w:uiPriority w:val="0"/>
    <w:pPr>
      <w:ind w:left="1680" w:leftChars="800"/>
    </w:pPr>
  </w:style>
  <w:style w:type="paragraph" w:styleId="6">
    <w:name w:val="footer"/>
    <w:qFormat/>
    <w:uiPriority w:val="0"/>
    <w:pPr>
      <w:widowControl w:val="0"/>
      <w:tabs>
        <w:tab w:val="center" w:pos="4153"/>
        <w:tab w:val="right" w:pos="8306"/>
      </w:tabs>
      <w:snapToGrid w:val="0"/>
      <w:jc w:val="left"/>
    </w:pPr>
    <w:rPr>
      <w:rFonts w:ascii="仿宋" w:hAnsi="仿宋" w:eastAsia="宋体" w:cs="Times New Roman"/>
      <w:kern w:val="0"/>
      <w:sz w:val="18"/>
      <w:szCs w:val="24"/>
      <w:lang w:val="en-US" w:eastAsia="zh-CN" w:bidi="ar-SA"/>
    </w:rPr>
  </w:style>
  <w:style w:type="paragraph" w:styleId="7">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仿宋" w:hAnsi="仿宋" w:eastAsia="宋体" w:cs="Times New Roman"/>
      <w:kern w:val="0"/>
      <w:sz w:val="18"/>
      <w:szCs w:val="24"/>
      <w:lang w:val="en-US" w:eastAsia="zh-CN" w:bidi="ar-SA"/>
    </w:rPr>
  </w:style>
  <w:style w:type="paragraph" w:styleId="8">
    <w:name w:val="Body Text 2"/>
    <w:unhideWhenUsed/>
    <w:qFormat/>
    <w:uiPriority w:val="0"/>
    <w:pPr>
      <w:widowControl w:val="0"/>
      <w:spacing w:line="360" w:lineRule="auto"/>
      <w:jc w:val="both"/>
    </w:pPr>
    <w:rPr>
      <w:rFonts w:ascii="Tahoma" w:hAnsi="Tahoma" w:eastAsia="仿宋_GB2312" w:cs="Times New Roman"/>
      <w:kern w:val="0"/>
      <w:sz w:val="21"/>
      <w:szCs w:val="22"/>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列出段落1"/>
    <w:basedOn w:val="1"/>
    <w:autoRedefine/>
    <w:qFormat/>
    <w:uiPriority w:val="34"/>
    <w:pPr>
      <w:ind w:firstLine="420" w:firstLineChars="200"/>
    </w:pPr>
  </w:style>
  <w:style w:type="paragraph" w:styleId="13">
    <w:name w:val="List Paragraph"/>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642</Words>
  <Characters>894</Characters>
  <Lines>0</Lines>
  <Paragraphs>0</Paragraphs>
  <TotalTime>22</TotalTime>
  <ScaleCrop>false</ScaleCrop>
  <LinksUpToDate>false</LinksUpToDate>
  <CharactersWithSpaces>990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Administrator</cp:lastModifiedBy>
  <cp:lastPrinted>2025-06-23T09:13:00Z</cp:lastPrinted>
  <dcterms:modified xsi:type="dcterms:W3CDTF">2025-09-19T06:39:19Z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8C45546BCA42421AB92C4A2C6F8D2A36_13</vt:lpwstr>
  </property>
  <property fmtid="{D5CDD505-2E9C-101B-9397-08002B2CF9AE}" pid="4" name="KSOTemplateDocerSaveRecord">
    <vt:lpwstr>eyJoZGlkIjoiOTZlYjhhYjE1MTNlYjg0MTJlMzgxN2U1NjI5NTliNzUifQ==</vt:lpwstr>
  </property>
</Properties>
</file>